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before="600"/>
      </w:pPr>
      <w:r>
        <w:rPr>
          <w:rFonts w:ascii="Georgia" w:cs="Georgia" w:eastAsia="Georgia" w:hAnsi="Georgia"/>
          <w:sz w:val="4"/>
          <w:szCs w:val="4"/>
        </w:rPr>
        <w:t xml:space="preserve"/>
      </w:r>
    </w:p>
    <w:p>
      <w:pPr>
        <w:spacing w:after="80" w:before="0"/>
        <w:jc w:val="left"/>
      </w:pPr>
      <w:r>
        <w:rPr>
          <w:rFonts w:ascii="Georgia" w:cs="Georgia" w:eastAsia="Georgia" w:hAnsi="Georgia"/>
          <w:b/>
          <w:bCs/>
          <w:color w:val="2C2C2C"/>
          <w:sz w:val="72"/>
          <w:szCs w:val="72"/>
        </w:rPr>
        <w:t xml:space="preserve">THE SILENT EPIDEMIC</w:t>
      </w:r>
    </w:p>
    <w:p>
      <w:pPr>
        <w:pBdr>
          <w:bottom w:val="single" w:color="8B6914" w:sz="8" w:space="8"/>
        </w:pBdr>
        <w:spacing w:after="240" w:before="0"/>
        <w:jc w:val="left"/>
      </w:pPr>
      <w:r>
        <w:rPr>
          <w:rFonts w:ascii="Georgia" w:cs="Georgia" w:eastAsia="Georgia" w:hAnsi="Georgia"/>
          <w:i/>
          <w:iCs/>
          <w:color w:val="666666"/>
          <w:sz w:val="28"/>
          <w:szCs w:val="28"/>
        </w:rPr>
        <w:t xml:space="preserve">How the Transportation Industry Has Knowingly Delivered a Documented Spinal Injury to Hundreds of Millions of Uninformed, Unconsenting Passengers and Workers for More Than Sixty Years</w:t>
      </w:r>
    </w:p>
    <w:p>
      <w:pPr>
        <w:spacing w:after="200" w:before="200"/>
      </w:pPr>
      <w:r>
        <w:rPr>
          <w:rFonts w:ascii="Georgia" w:cs="Georgia" w:eastAsia="Georgia" w:hAnsi="Georgia"/>
          <w:sz w:val="4"/>
          <w:szCs w:val="4"/>
        </w:rPr>
        <w:t xml:space="preserve"/>
      </w:r>
    </w:p>
    <w:p>
      <w:pPr>
        <w:spacing w:after="80" w:before="80"/>
      </w:pPr>
      <w:r>
        <w:rPr>
          <w:rFonts w:ascii="Georgia" w:cs="Georgia" w:eastAsia="Georgia" w:hAnsi="Georgia"/>
          <w:i/>
          <w:iCs/>
          <w:color w:val="666666"/>
          <w:sz w:val="18"/>
          <w:szCs w:val="18"/>
        </w:rPr>
        <w:t xml:space="preserve">A PUBLIC HEALTH WHITE PAPER</w:t>
      </w:r>
    </w:p>
    <w:p>
      <w:pPr>
        <w:spacing w:after="80" w:before="80"/>
      </w:pPr>
      <w:r>
        <w:rPr>
          <w:rFonts w:ascii="Georgia" w:cs="Georgia" w:eastAsia="Georgia" w:hAnsi="Georgia"/>
          <w:i/>
          <w:iCs/>
          <w:color w:val="666666"/>
          <w:sz w:val="18"/>
          <w:szCs w:val="18"/>
        </w:rPr>
        <w:t xml:space="preserve">Echosphere.io  ·  Orlando, Florida  ·  April 2026</w:t>
      </w:r>
    </w:p>
    <w:p>
      <w:pPr>
        <w:spacing w:after="80" w:before="80"/>
      </w:pPr>
      <w:r>
        <w:rPr>
          <w:rFonts w:ascii="Georgia" w:cs="Georgia" w:eastAsia="Georgia" w:hAnsi="Georgia"/>
          <w:i/>
          <w:iCs/>
          <w:color w:val="666666"/>
          <w:sz w:val="18"/>
          <w:szCs w:val="18"/>
        </w:rPr>
        <w:t xml:space="preserve">Patent Pending: USPTO Application Nos. 64/029,312 and 64/029,331</w:t>
      </w:r>
    </w:p>
    <w:p>
      <w:pPr>
        <w:spacing w:after="400" w:before="400"/>
      </w:pPr>
      <w:r>
        <w:rPr>
          <w:rFonts w:ascii="Georgia" w:cs="Georgia" w:eastAsia="Georgia" w:hAnsi="Georgia"/>
          <w:sz w:val="4"/>
          <w:szCs w:val="4"/>
        </w:rPr>
        <w:t xml:space="preserve"/>
      </w:r>
    </w:p>
    <w:p>
      <w:pPr>
        <w:pBdr>
          <w:left w:val="thick" w:color="8B6914" w:sz="16" w:space="14"/>
        </w:pBdr>
        <w:spacing w:after="120" w:before="0"/>
        <w:ind w:left="360"/>
      </w:pPr>
      <w:r>
        <w:rPr>
          <w:rFonts w:ascii="Georgia" w:cs="Georgia" w:eastAsia="Georgia" w:hAnsi="Georgia"/>
          <w:i/>
          <w:iCs/>
          <w:color w:val="2C2C2C"/>
          <w:sz w:val="21"/>
          <w:szCs w:val="21"/>
        </w:rPr>
        <w:t xml:space="preserve">Steven Easley is a citizen of the United States, a member of the traveling public, and a person who has personally suffered the harm documented in this paper. He is also the inventor of patent-pending mitigation technology — not because he sought commercial advantage, but because the harm was real, the solution was conceivable, and no one else had filed it. He writes as a witness, as a fellow citizen, and as someone who believes that the knowing infliction of preventable harm on an uninformed and unconsenting public is a moral offense that no statute of limitations and no commercial interest can excuse.</w:t>
      </w:r>
    </w:p>
    <w:p>
      <w:pPr>
        <w:spacing w:after="200" w:before="200"/>
      </w:pPr>
      <w:r>
        <w:rPr>
          <w:rFonts w:ascii="Georgia" w:cs="Georgia" w:eastAsia="Georgia" w:hAnsi="Georgia"/>
          <w:sz w:val="4"/>
          <w:szCs w:val="4"/>
        </w:rPr>
        <w:t xml:space="preserve"/>
      </w:r>
    </w:p>
    <w:p>
      <w:r>
        <w:br w:type="page"/>
      </w:r>
    </w:p>
    <w:p>
      <w:pPr>
        <w:pBdr>
          <w:bottom w:val="single" w:color="8B6914" w:sz="6" w:space="4"/>
        </w:pBdr>
        <w:spacing w:after="120" w:before="440"/>
      </w:pPr>
      <w:r>
        <w:rPr>
          <w:rFonts w:ascii="Georgia" w:cs="Georgia" w:eastAsia="Georgia" w:hAnsi="Georgia"/>
          <w:b/>
          <w:bCs/>
          <w:color w:val="2C2C2C"/>
          <w:sz w:val="28"/>
          <w:szCs w:val="28"/>
        </w:rPr>
        <w:t xml:space="preserve">I.  THE WITNESS SPEAKS</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I have flown to Japan in coach class. The flight is twelve hours. I am physically fit — more so than most of the passengers on that aircraft. When I landed, I was at pain level eight on a scale of one to ten. I spent that night on my back, unable to find a position that did not hurt, tossing in a hotel room in a city I had traveled thousands of miles to reach. The next day I functioned — because I am fit and because I am stubborn. But I want you to hold that number in your mind: eight out of ten. Because I am telling you that I am more resilient than most of the four billion people who board commercial aircraft every year. Which means that what I experienced at eight, millions of others experienced at nine. And some at ten.</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I did not know, before boarding that flight, that the seat I was sitting in was delivering mechanical vibration to my spinal column at the precise frequencies — four to thirteen hertz — that the international scientific community has documented for sixty years as the frequencies most damaging to the human intervertebral disc. I was not warned. I was not given a choice. I was not offered an alternative. I purchased a ticket, I sat in the seat provided, and the seat did what seats in commercial aircraft do: it transmitted the vibration of the aircraft structure directly into my body, amplified at spinal resonance frequencies, for twelve consecutive hours.</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No warning label. No disclosure. No consent. No regulatory standard requiring any of these things. Just a seat, and a spine, and sixty years of published science that the industry read and ignored.</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This paper is my attempt to discharge a duty that the industry, the regulators, and the standards bodies have failed to discharge: the duty to tell the truth about what is being done to human bodies in transportation, and to document that truth with sufficient clarity and force that no one who reads it can claim they did not know.</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I write as a citizen. I write as someone who has personally suffered this harm. I write as someone who believes that the right to know what is being done to your body is not a privilege — it is a constitutional and moral entitlement of every person who sits in a seat on a commercial vehicle. And I write as the inventor of technology that can mitigate this harm across the full spectrum from partial protection to near-complete isolation — technology that is now patent-pending and available for licensing — because if the solution exists and the industry still will not act, then the question of moral culpability has its final answer.</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II.  THE CRIME SCENE — WHAT IS HAPPENING TO HUMAN BODIES</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The Physics of the Seated Spine</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human spinal column is not designed for sustained seated posture. In the neutral upright seated position, intradiscal pressure in the lumbar region exceeds standing pressure by approximately forty percent. This was not estimated. It was measured directly, in living subjects, by Alf Nachemson of the Sahlgrenska University Hospital in Gothenburg, Sweden, using pressure transducers implanted into the disc nucleus — measurements published in 1966 and replicated by successive investigators for six decades. In the forward-flexed posture common during occupational work, intradiscal pressure approaches two hundred percent of standing baseline.</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intervertebral disc is an avascular structure. It receives no direct blood supply. Nutrients enter and metabolic waste exits through diffusion, driven by the mechanical compression and decompression cycle of normal movement. Sustained compressive loading without adequate unloading suppresses this exchange — a process called spinal creep, measurable within thirty to sixty minutes of sustained seated posture. The disc loses water content. It loses height. The vertebral endplates bear increasing load. The posterior facet joints, not designed for primary load bearing, begin to carry the weight that the deteriorating disc can no longer bear. This process is not reversible overnight in any adult over forty. Much of it is not reversible at all.</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The Resonance Weapon</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Seated static compression alone would be damaging enough. But transportation adds a second mechanism that multiplies the first: whole-body vibration. Every vehicle — aircraft, helicopter, truck, bus, train, tractor, ship — vibrates. That vibration is transmitted from the vehicle floor or hull, through the seat structure, into the occupant's body. And the human spinal column has a resonant frequency.</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The spinal resonance band is 4.5 to 5.5 Hz primarily, 9.4 to 13.1 Hz secondarily. At these frequencies, the spine amplifies rather than attenuates. The seat transmits. The spine multiplies. The disc pays the price.</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This resonance was not theorized. It was measured by Pope, Seidel, Griffin, and numerous subsequent investigators using instrumented seat pads, accelerometers at the occupant interface, and MRI imaging of disc structures before and after vibration exposure. At resonance, intradiscal pressure exceeds static seated baseline by a documented factor. At the cellular level, Kasra and colleagues demonstrated in 1992 that vibration at resonance frequencies reduces extracellular matrix assembly by intervertebral disc cells — degrading the structural protein architecture of the disc at the molecular level, before any macroscopic damage is visible on imaging. The disc is being unmade, cell by cell, journey by journey, year by year.</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The Scale of the Ignored Epidemic</w:t>
      </w:r>
    </w:p>
    <w:p>
      <w:pPr>
        <w:spacing w:after="60" w:before="60"/>
      </w:pPr>
      <w:r>
        <w:rPr>
          <w:rFonts w:ascii="Georgia" w:cs="Georgia" w:eastAsia="Georgia" w:hAnsi="Georgia"/>
          <w:sz w:val="4"/>
          <w:szCs w:val="4"/>
        </w:rPr>
        <w:t xml:space="preserve"/>
      </w:r>
    </w:p>
    <w:p>
      <w:pPr>
        <w:spacing w:after="100" w:before="100"/>
        <w:ind w:left="360"/>
      </w:pPr>
      <w:r>
        <w:rPr>
          <w:rFonts w:ascii="Georgia" w:cs="Georgia" w:eastAsia="Georgia" w:hAnsi="Georgia"/>
          <w:b/>
          <w:bCs/>
          <w:color w:val="8B6914"/>
          <w:sz w:val="28"/>
          <w:szCs w:val="28"/>
        </w:rPr>
        <w:t xml:space="preserve">619,000,000  </w:t>
      </w:r>
      <w:r>
        <w:rPr>
          <w:rFonts w:ascii="Georgia" w:cs="Georgia" w:eastAsia="Georgia" w:hAnsi="Georgia"/>
          <w:b/>
          <w:bCs/>
          <w:color w:val="2C2C2C"/>
          <w:sz w:val="22"/>
          <w:szCs w:val="22"/>
        </w:rPr>
        <w:t xml:space="preserve">prevalent cases of low back pain globally (2020)</w:t>
      </w:r>
      <w:r>
        <w:rPr>
          <w:rFonts w:ascii="Georgia" w:cs="Georgia" w:eastAsia="Georgia" w:hAnsi="Georgia"/>
          <w:i/>
          <w:iCs/>
          <w:color w:val="666666"/>
          <w:sz w:val="18"/>
          <w:szCs w:val="18"/>
        </w:rPr>
        <w:t xml:space="preserve">  — GBD Study 2020</w:t>
      </w:r>
    </w:p>
    <w:p>
      <w:pPr>
        <w:spacing w:after="100" w:before="100"/>
        <w:ind w:left="360"/>
      </w:pPr>
      <w:r>
        <w:rPr>
          <w:rFonts w:ascii="Georgia" w:cs="Georgia" w:eastAsia="Georgia" w:hAnsi="Georgia"/>
          <w:b/>
          <w:bCs/>
          <w:color w:val="8B6914"/>
          <w:sz w:val="28"/>
          <w:szCs w:val="28"/>
        </w:rPr>
        <w:t xml:space="preserve">843,000,000  </w:t>
      </w:r>
      <w:r>
        <w:rPr>
          <w:rFonts w:ascii="Georgia" w:cs="Georgia" w:eastAsia="Georgia" w:hAnsi="Georgia"/>
          <w:b/>
          <w:bCs/>
          <w:color w:val="2C2C2C"/>
          <w:sz w:val="22"/>
          <w:szCs w:val="22"/>
        </w:rPr>
        <w:t xml:space="preserve">projected cases by 2050</w:t>
      </w:r>
      <w:r>
        <w:rPr>
          <w:rFonts w:ascii="Georgia" w:cs="Georgia" w:eastAsia="Georgia" w:hAnsi="Georgia"/>
          <w:i/>
          <w:iCs/>
          <w:color w:val="666666"/>
          <w:sz w:val="18"/>
          <w:szCs w:val="18"/>
        </w:rPr>
        <w:t xml:space="preserve">  — on current trajectory</w:t>
      </w:r>
    </w:p>
    <w:p>
      <w:pPr>
        <w:spacing w:after="100" w:before="100"/>
        <w:ind w:left="360"/>
      </w:pPr>
      <w:r>
        <w:rPr>
          <w:rFonts w:ascii="Georgia" w:cs="Georgia" w:eastAsia="Georgia" w:hAnsi="Georgia"/>
          <w:b/>
          <w:bCs/>
          <w:color w:val="8B6914"/>
          <w:sz w:val="28"/>
          <w:szCs w:val="28"/>
        </w:rPr>
        <w:t xml:space="preserve">$100,000,000,000+  </w:t>
      </w:r>
      <w:r>
        <w:rPr>
          <w:rFonts w:ascii="Georgia" w:cs="Georgia" w:eastAsia="Georgia" w:hAnsi="Georgia"/>
          <w:b/>
          <w:bCs/>
          <w:color w:val="2C2C2C"/>
          <w:sz w:val="22"/>
          <w:szCs w:val="22"/>
        </w:rPr>
        <w:t xml:space="preserve">annual US economic burden</w:t>
      </w:r>
      <w:r>
        <w:rPr>
          <w:rFonts w:ascii="Georgia" w:cs="Georgia" w:eastAsia="Georgia" w:hAnsi="Georgia"/>
          <w:i/>
          <w:iCs/>
          <w:color w:val="666666"/>
          <w:sz w:val="18"/>
          <w:szCs w:val="18"/>
        </w:rPr>
        <w:t xml:space="preserve">  — direct costs and lost productivity</w:t>
      </w:r>
    </w:p>
    <w:p>
      <w:pPr>
        <w:spacing w:after="100" w:before="100"/>
        <w:ind w:left="360"/>
      </w:pPr>
      <w:r>
        <w:rPr>
          <w:rFonts w:ascii="Georgia" w:cs="Georgia" w:eastAsia="Georgia" w:hAnsi="Georgia"/>
          <w:b/>
          <w:bCs/>
          <w:color w:val="8B6914"/>
          <w:sz w:val="28"/>
          <w:szCs w:val="28"/>
        </w:rPr>
        <w:t xml:space="preserve">4,000,000,000  </w:t>
      </w:r>
      <w:r>
        <w:rPr>
          <w:rFonts w:ascii="Georgia" w:cs="Georgia" w:eastAsia="Georgia" w:hAnsi="Georgia"/>
          <w:b/>
          <w:bCs/>
          <w:color w:val="2C2C2C"/>
          <w:sz w:val="22"/>
          <w:szCs w:val="22"/>
        </w:rPr>
        <w:t xml:space="preserve">commercial aviation passengers annually with zero WBV protection</w:t>
      </w:r>
      <w:r>
        <w:rPr>
          <w:rFonts w:ascii="Georgia" w:cs="Georgia" w:eastAsia="Georgia" w:hAnsi="Georgia"/>
          <w:i/>
          <w:iCs/>
          <w:color w:val="666666"/>
          <w:sz w:val="18"/>
          <w:szCs w:val="18"/>
        </w:rPr>
        <w:t xml:space="preserve">  — no regulatory standard applies</w:t>
      </w:r>
    </w:p>
    <w:p>
      <w:pPr>
        <w:spacing w:after="100" w:before="100"/>
        <w:ind w:left="360"/>
      </w:pPr>
      <w:r>
        <w:rPr>
          <w:rFonts w:ascii="Georgia" w:cs="Georgia" w:eastAsia="Georgia" w:hAnsi="Georgia"/>
          <w:b/>
          <w:bCs/>
          <w:color w:val="8B6914"/>
          <w:sz w:val="28"/>
          <w:szCs w:val="28"/>
        </w:rPr>
        <w:t xml:space="preserve">&gt;75%  </w:t>
      </w:r>
      <w:r>
        <w:rPr>
          <w:rFonts w:ascii="Georgia" w:cs="Georgia" w:eastAsia="Georgia" w:hAnsi="Georgia"/>
          <w:b/>
          <w:bCs/>
          <w:color w:val="2C2C2C"/>
          <w:sz w:val="22"/>
          <w:szCs w:val="22"/>
        </w:rPr>
        <w:t xml:space="preserve">back pain prevalence in helicopter pilots</w:t>
      </w:r>
      <w:r>
        <w:rPr>
          <w:rFonts w:ascii="Georgia" w:cs="Georgia" w:eastAsia="Georgia" w:hAnsi="Georgia"/>
          <w:i/>
          <w:iCs/>
          <w:color w:val="666666"/>
          <w:sz w:val="18"/>
          <w:szCs w:val="18"/>
        </w:rPr>
        <w:t xml:space="preserve">  — vs. 25% general population</w:t>
      </w:r>
    </w:p>
    <w:p>
      <w:pPr>
        <w:spacing w:after="100" w:before="100"/>
        <w:ind w:left="360"/>
      </w:pPr>
      <w:r>
        <w:rPr>
          <w:rFonts w:ascii="Georgia" w:cs="Georgia" w:eastAsia="Georgia" w:hAnsi="Georgia"/>
          <w:b/>
          <w:bCs/>
          <w:color w:val="8B6914"/>
          <w:sz w:val="28"/>
          <w:szCs w:val="28"/>
        </w:rPr>
        <w:t xml:space="preserve">55–60%  </w:t>
      </w:r>
      <w:r>
        <w:rPr>
          <w:rFonts w:ascii="Georgia" w:cs="Georgia" w:eastAsia="Georgia" w:hAnsi="Georgia"/>
          <w:b/>
          <w:bCs/>
          <w:color w:val="2C2C2C"/>
          <w:sz w:val="22"/>
          <w:szCs w:val="22"/>
        </w:rPr>
        <w:t xml:space="preserve">back pain prevalence in commercial truck drivers</w:t>
      </w:r>
      <w:r>
        <w:rPr>
          <w:rFonts w:ascii="Georgia" w:cs="Georgia" w:eastAsia="Georgia" w:hAnsi="Georgia"/>
          <w:i/>
          <w:iCs/>
          <w:color w:val="666666"/>
          <w:sz w:val="18"/>
          <w:szCs w:val="18"/>
        </w:rPr>
        <w:t xml:space="preserve">  — vs. 25% general population</w:t>
      </w:r>
    </w:p>
    <w:p>
      <w:pPr>
        <w:spacing w:after="100" w:before="100"/>
        <w:ind w:left="360"/>
      </w:pPr>
      <w:r>
        <w:rPr>
          <w:rFonts w:ascii="Georgia" w:cs="Georgia" w:eastAsia="Georgia" w:hAnsi="Georgia"/>
          <w:b/>
          <w:bCs/>
          <w:color w:val="8B6914"/>
          <w:sz w:val="28"/>
          <w:szCs w:val="28"/>
        </w:rPr>
        <w:t xml:space="preserve">+26%  </w:t>
      </w:r>
      <w:r>
        <w:rPr>
          <w:rFonts w:ascii="Georgia" w:cs="Georgia" w:eastAsia="Georgia" w:hAnsi="Georgia"/>
          <w:b/>
          <w:bCs/>
          <w:color w:val="2C2C2C"/>
          <w:sz w:val="22"/>
          <w:szCs w:val="22"/>
        </w:rPr>
        <w:t xml:space="preserve">higher lumbago rate in career helicopter pilots vs. fixed-wing</w:t>
      </w:r>
      <w:r>
        <w:rPr>
          <w:rFonts w:ascii="Georgia" w:cs="Georgia" w:eastAsia="Georgia" w:hAnsi="Georgia"/>
          <w:i/>
          <w:iCs/>
          <w:color w:val="666666"/>
          <w:sz w:val="18"/>
          <w:szCs w:val="18"/>
        </w:rPr>
        <w:t xml:space="preserve">  — DoD Report to Congress, 2019</w:t>
      </w:r>
    </w:p>
    <w:p>
      <w:pPr>
        <w:spacing w:after="100" w:before="100"/>
        <w:ind w:left="360"/>
      </w:pPr>
      <w:r>
        <w:rPr>
          <w:rFonts w:ascii="Georgia" w:cs="Georgia" w:eastAsia="Georgia" w:hAnsi="Georgia"/>
          <w:b/>
          <w:bCs/>
          <w:color w:val="8B6914"/>
          <w:sz w:val="28"/>
          <w:szCs w:val="28"/>
        </w:rPr>
        <w:t xml:space="preserve">48  </w:t>
      </w:r>
      <w:r>
        <w:rPr>
          <w:rFonts w:ascii="Georgia" w:cs="Georgia" w:eastAsia="Georgia" w:hAnsi="Georgia"/>
          <w:b/>
          <w:bCs/>
          <w:color w:val="2C2C2C"/>
          <w:sz w:val="22"/>
          <w:szCs w:val="22"/>
        </w:rPr>
        <w:t xml:space="preserve">years ISO 2631 spinal health guidance has been in force</w:t>
      </w:r>
      <w:r>
        <w:rPr>
          <w:rFonts w:ascii="Georgia" w:cs="Georgia" w:eastAsia="Georgia" w:hAnsi="Georgia"/>
          <w:i/>
          <w:iCs/>
          <w:color w:val="666666"/>
          <w:sz w:val="18"/>
          <w:szCs w:val="18"/>
        </w:rPr>
        <w:t xml:space="preserve">  — since ISO 2631:1978</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Low back pain is not a minor complaint. It is the leading cause of disability globally, ahead of depression, diabetes, and cardiovascular disease in terms of years lived with disability. The majority of that burden is borne by the working-age population — the demographic whose spinal exposure occurs primarily during occupational seated activity. And the overwhelming majority of those people were never told that the seat they sat in every working day was a mechanism of harm.</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III.  THE EVIDENCE CHAIN — WHAT THE INDUSTRY KNEW AND WHEN</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This is the section that matters most to the lawyers. Because the question of legal liability — and the question of moral culpability — turns entirely on the timeline of knowledge. When did the industry know? What did it know? What did it do with that knowledge?</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answers are documented. They are in the peer-reviewed literature, the international standards, the government directives, and the industry's own engineering records. The chain of knowledge is unbroken, continuous, and has produced no mandatory protection for transportation passengers in any jurisdiction on earth.</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The Timeline of Known Harm</w:t>
      </w:r>
    </w:p>
    <w:p>
      <w:pPr>
        <w:spacing w:after="60" w:before="60"/>
      </w:pPr>
      <w:r>
        <w:rPr>
          <w:rFonts w:ascii="Georgia" w:cs="Georgia" w:eastAsia="Georgia" w:hAnsi="Georgia"/>
          <w:sz w:val="4"/>
          <w:szCs w:val="4"/>
        </w:rPr>
        <w:t xml:space="preserve"/>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1950s — Health concerns over vehicle vibration exposure first documented in occupational medicine literature. The problem is recognized. Research begins.</w:t>
      </w:r>
    </w:p>
    <w:p>
      <w:pPr>
        <w:spacing w:after="60" w:before="60"/>
        <w:ind w:left="560"/>
      </w:pPr>
      <w:r>
        <w:rPr>
          <w:rFonts w:ascii="Georgia" w:cs="Georgia" w:eastAsia="Georgia" w:hAnsi="Georgia"/>
          <w:i/>
          <w:iCs/>
          <w:color w:val="666666"/>
          <w:sz w:val="18"/>
          <w:szCs w:val="18"/>
        </w:rPr>
        <w:t xml:space="preserve">Documented in Bovenzi &amp; Hulshof systematic review (1999)</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1966 — Nachemson publishes direct intradiscal pressure measurements. Seated posture increases L4-L5 pressure 40% above standing. The physics of disc loading in seated posture is no longer theoretical.</w:t>
      </w:r>
    </w:p>
    <w:p>
      <w:pPr>
        <w:spacing w:after="60" w:before="60"/>
        <w:ind w:left="560"/>
      </w:pPr>
      <w:r>
        <w:rPr>
          <w:rFonts w:ascii="Georgia" w:cs="Georgia" w:eastAsia="Georgia" w:hAnsi="Georgia"/>
          <w:i/>
          <w:iCs/>
          <w:color w:val="666666"/>
          <w:sz w:val="18"/>
          <w:szCs w:val="18"/>
        </w:rPr>
        <w:t xml:space="preserve">Nachemson A. The load on lumbar disks in different positions of the body. Clin Orthop. 1966.</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1978 — ISO 2631:1978 published. The first international standard evaluating human exposure to whole-body vibration. The health effects are codified. The engineering community is formally notified. Every seat manufacturer in every vehicle category can read it.</w:t>
      </w:r>
    </w:p>
    <w:p>
      <w:pPr>
        <w:spacing w:after="60" w:before="60"/>
        <w:ind w:left="560"/>
      </w:pPr>
      <w:r>
        <w:rPr>
          <w:rFonts w:ascii="Georgia" w:cs="Georgia" w:eastAsia="Georgia" w:hAnsi="Georgia"/>
          <w:i/>
          <w:iCs/>
          <w:color w:val="666666"/>
          <w:sz w:val="18"/>
          <w:szCs w:val="18"/>
        </w:rPr>
        <w:t xml:space="preserve">ISO 2631:1978 — Mechanical vibration. Guide for the evaluation of human exposure to whole-body vibration.</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1983 — Adams and Hutton demonstrate that creep-loaded lumbar motion segments exhibit substantially reduced resistance to herniation. Prolonged seated posture is now mechanistically linked to disc failure.</w:t>
      </w:r>
    </w:p>
    <w:p>
      <w:pPr>
        <w:spacing w:after="60" w:before="60"/>
        <w:ind w:left="560"/>
      </w:pPr>
      <w:r>
        <w:rPr>
          <w:rFonts w:ascii="Georgia" w:cs="Georgia" w:eastAsia="Georgia" w:hAnsi="Georgia"/>
          <w:i/>
          <w:iCs/>
          <w:color w:val="666666"/>
          <w:sz w:val="18"/>
          <w:szCs w:val="18"/>
        </w:rPr>
        <w:t xml:space="preserve">Adams MA, Hutton WC. The effect of posture on the fluid content of lumbar intervertebral discs. Spine. 1983.</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1987–1999 — Bovenzi systematic review covers 45 epidemiological studies across 22 WBV-exposed occupational groups. Meta-analysis confirms: occupational WBV is associated with increased risk of low back pain, sciatic pain, and degenerative changes in the spinal system. The dose-response relationship is documented.</w:t>
      </w:r>
    </w:p>
    <w:p>
      <w:pPr>
        <w:spacing w:after="60" w:before="60"/>
        <w:ind w:left="560"/>
      </w:pPr>
      <w:r>
        <w:rPr>
          <w:rFonts w:ascii="Georgia" w:cs="Georgia" w:eastAsia="Georgia" w:hAnsi="Georgia"/>
          <w:i/>
          <w:iCs/>
          <w:color w:val="666666"/>
          <w:sz w:val="18"/>
          <w:szCs w:val="18"/>
        </w:rPr>
        <w:t xml:space="preserve">Bovenzi M, Hulshof CTJ. Int Arch Occup Environ Health. 1999;72:351–365.</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1992 — Kasra et al. demonstrate that vibration at resonance frequencies reduces extracellular matrix assembly by disc cells at the molecular level. The harm is now documented from epidemiology down to the cellular and molecular level. The causal chain is complete.</w:t>
      </w:r>
    </w:p>
    <w:p>
      <w:pPr>
        <w:spacing w:after="60" w:before="60"/>
        <w:ind w:left="560"/>
      </w:pPr>
      <w:r>
        <w:rPr>
          <w:rFonts w:ascii="Georgia" w:cs="Georgia" w:eastAsia="Georgia" w:hAnsi="Georgia"/>
          <w:i/>
          <w:iCs/>
          <w:color w:val="666666"/>
          <w:sz w:val="18"/>
          <w:szCs w:val="18"/>
        </w:rPr>
        <w:t xml:space="preserve">Kasra M et al. Dynamics of human lumbar intervertebral joints. Spine. 1992.</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1993 — The Federal Ministry of Labour of Germany adds lumbar spine disease from long-term whole-body vibration to the official list of recognized occupational diseases. A government has formally acknowledged that WBV causes compensable occupational disease.</w:t>
      </w:r>
    </w:p>
    <w:p>
      <w:pPr>
        <w:spacing w:after="60" w:before="60"/>
        <w:ind w:left="560"/>
      </w:pPr>
      <w:r>
        <w:rPr>
          <w:rFonts w:ascii="Georgia" w:cs="Georgia" w:eastAsia="Georgia" w:hAnsi="Georgia"/>
          <w:i/>
          <w:iCs/>
          <w:color w:val="666666"/>
          <w:sz w:val="18"/>
          <w:szCs w:val="18"/>
        </w:rPr>
        <w:t xml:space="preserve">BK 2110 — Berufskrankheitenverordnung, Federal Republic of Germany, 1993.</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1997 — ISO 2631-1:1997 published. Health guidance caution zones codified specifying the vibration magnitudes and daily exposure durations above which health effects become probable. The standard has been in force for twenty-nine years.</w:t>
      </w:r>
    </w:p>
    <w:p>
      <w:pPr>
        <w:spacing w:after="60" w:before="60"/>
        <w:ind w:left="560"/>
      </w:pPr>
      <w:r>
        <w:rPr>
          <w:rFonts w:ascii="Georgia" w:cs="Georgia" w:eastAsia="Georgia" w:hAnsi="Georgia"/>
          <w:i/>
          <w:iCs/>
          <w:color w:val="666666"/>
          <w:sz w:val="18"/>
          <w:szCs w:val="18"/>
        </w:rPr>
        <w:t xml:space="preserve">ISO 2631-1:1997 — Mechanical vibration and shock. Evaluation of human exposure to whole-body vibration.</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2002 — European Union Directive 2002/44/EC enacted. Minimum health and safety requirements for WBV exposure of workers. Action values and limit values established. Applies to commercial vehicle operators, agricultural and construction workers. Does not apply to passengers. Does not apply to aviation crew. Does not apply to military personnel.</w:t>
      </w:r>
    </w:p>
    <w:p>
      <w:pPr>
        <w:spacing w:after="60" w:before="60"/>
        <w:ind w:left="560"/>
      </w:pPr>
      <w:r>
        <w:rPr>
          <w:rFonts w:ascii="Georgia" w:cs="Georgia" w:eastAsia="Georgia" w:hAnsi="Georgia"/>
          <w:i/>
          <w:iCs/>
          <w:color w:val="666666"/>
          <w:sz w:val="18"/>
          <w:szCs w:val="18"/>
        </w:rPr>
        <w:t xml:space="preserve">EU Directive 2002/44/EC — Physical agents (vibration). European Parliament and Council, June 2002.</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2002 — MagneRide magnetorheological damper technology introduced in commercial automobiles by Delphi. Adaptive vibration control is commercially deployed — to protect vehicle components and handling dynamics. Not to protect occupant spines.</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2019 — U.S. Department of Defense reports to Congress: career helicopter pilots have 26% higher lumbago rates than fixed-wing counterparts. Spinal disorders account for 15.2% of all Army aircrew diagnoses. The United States military formally documents the harm to its own people.</w:t>
      </w:r>
    </w:p>
    <w:p>
      <w:pPr>
        <w:spacing w:after="60" w:before="60"/>
        <w:ind w:left="560"/>
      </w:pPr>
      <w:r>
        <w:rPr>
          <w:rFonts w:ascii="Georgia" w:cs="Georgia" w:eastAsia="Georgia" w:hAnsi="Georgia"/>
          <w:i/>
          <w:iCs/>
          <w:color w:val="666666"/>
          <w:sz w:val="18"/>
          <w:szCs w:val="18"/>
        </w:rPr>
        <w:t xml:space="preserve">DoD Report to Congress on Occupational Health, 2019.</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2026 — Four billion aviation passengers board commercial aircraft annually. Zero mandatory WBV protection standard applies to their seats. Zero disclosure is required of the WBV levels at their seat interface. Zero informed consent is obtained for the vibration exposure they will receive. The silence continues.</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The science has been settled since 1966. The standard has been in force since 1978. The causal chain from seat to disc to disability has been documented at every level from epidemiology to molecular biology. And not one mandatory protection standard for transportation passengers exists anywhere on earth.</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IV.  THE TOBACCO PARALLEL — A STRUCTURAL ANALYSIS</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comparison between the transportation seating industry and the tobacco industry is not rhetorical. It is structural, precise, and legally significant.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tobacco industry was held liable — ultimately to the tune of $206 billion in the Master Settlement Agreement — not merely for the harm its product caused, but for the specific pattern of corporate conduct surrounding that harm: the possession of internal knowledge of the harm, the failure to disclose that knowledge, the active effort to manufacture doubt about the science, and the continued sale of a harmful product to an uninformed consumer. It was the knowledge-plus-concealment pattern that produced the liability, not the harm alone.</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transportation seating industry presents the same pattern. The knowledge exists — sixty years of peer-reviewed literature, codified in international standards, translated into national regulations for workers, documented in the industry's own engineering records. The concealment exists — no warning label, no disclosure, no informed consent, no voluntary standard, no industry initiative to address the passenger protection gap that has been open since 1978. The harm exists — 619 million people. And the product continues to be sold.</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There is one important distinction between tobacco and transportation seating, and it runs in favor of the passenger, not the industry. The tobacco industry spent decades manufacturing scientific doubt about the causal relationship between cigarette smoke and lung cancer. The transportation seating industry cannot make that argument. The causal relationship between seated WBV and spinal injury is not contested. It is in the ISO standard. It is in the EU Directive. It is in the DoD report to Congress. It is in the Federal Republic of Germany's list of recognized occupational diseases. The industry's own regulatory environment acknowledges the harm. The only question is why passengers are excluded from the protection extended to workers — and that question has no answer rooted in science. It has only an answer rooted in economics.</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The tobacco industry manufactured doubt. The transportation seating industry doesn't need to — the doubt was manufactured for them by the regulatory gap between worker protection and passenger protection. That gap is not a scientific finding. It is a political choice.</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V.  THE VICTIMS — FACES BEHIND THE EPIDEMIOLOGY</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Statistics are the summary of individual human suffering. Behind each of the 619 million prevalent cases of global low back pain is a person. Behind the 26% elevated lumbago rate in career helicopter pilots is a pilot — someone who volunteered to serve, who trained for years, who flew in conditions of stress and danger and vibration, and who now carries the permanent structural damage of that service in a spine that was never protected by the people who sent them aloft.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German helicopter pilot with 3,000 flight hours whose cervical MRI shows disc protrusions at C5-6 and C6-7 that his age-matched non-flying controls do not have. The Korean military study documented this — 186 pilots versus 94 clerical workers, the same age, the same institution, the same medical examinations. The only variable was flight hours. The dose-response relationship was statistically significant. The flight hours broke the spines.</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long-haul truck driver who has operated a commercial vehicle for twenty years and who now cannot sit for more than thirty minutes without pain. The 55-60% back pain prevalence in commercial drivers is not a genetic predisposition. It is not a lifestyle choice. It is the documented consequence of daily whole-body vibration exposure above ISO 2631-1 health guidance caution zones, in a seat designed for comfort and cost efficiency rather than spinal protection.</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flight attendant who works four flights a day, five days a week, standing and moving through a vibrating aircraft fuselage for thirty years. The Association of Flight Attendants represents 50,000 workers whose occupational spinal exposure is continuous, whose union contracts contain no WBV protection clause, and whose employer has never been required to disclose the vibration levels to which they are exposed as a condition of employment.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tractor farmer in North India whose study Kumar and colleagues published in Spine in 1999 — whole-body vibration exposure documented, lumbar pathology documented, dose-response documented. He is not a statistic. He is a man who fed his family and broke his back doing it, on a machine whose manufacturer knew, in a country whose government had no enforceable standard, without any warning on the seat he sat in every day.</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We normalize this suffering because it is universal. Everyone's back hurts after a long flight. Every truck driver has back problems. Every helicopter pilot has neck pain. The normalization is the concealment. Universal suffering is not natural. It is manufactured.</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VI.  THE CONSTITUTIONAL DIMENSION — THE RIGHT TO KNOW</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right to know what is being done to your body is not a statutory privilege that Congress may grant or withhold at its discretion. It is a dimension of the constitutionally protected right to bodily integrity — recognized across multiple doctrinal frameworks in American constitutional law, grounded in the substantive due process protections of the Fifth and Fourteenth Amendments, and reinforced by the entire architecture of federal hazard communication law from OSHA's Hazard Communication Standard to the FDA's informed consent requirements to the EPA's Toxics Release Inventory.</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principle underlying every one of those frameworks is the same: a person cannot be subjected to a known, quantifiable health risk without disclosure. The tobacco smoker was entitled to know what was in the cigarette. The worker is entitled to know what chemicals are in the workplace. The patient is entitled to know the risks of the procedure. The transportation passenger is entitled to know what the seat is doing to their spine.</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four billion people who board commercial aircraft annually are not consenting to WBV exposure at ISO 2631-1 health guidance caution zone levels when they purchase a ticket. They are not aware that such exposure levels exist at their seat interface. They are not told that a sixty-year body of published literature documents the biological harm of that exposure. They are not informed that ISO 2631-1 has been in force for twenty-nine years and that their seat is not required to comply with it. They are not warned that the cumulative vibration dose from multiple long-haul flights per year, over multiple years, contributes to a measurable increase in spinal pathology rates.</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This is not merely a regulatory gap. It is a violation of the informational foundation upon which free citizens make decisions about the products they consume and the risks they accept. A citizen who knows that their aircraft seat delivers harmful vibration to their spine can make an informed choice: upgrade to business class, take a different mode of transport, request a protective overlay, demand a seat with better isolation, or accept the risk with full knowledge. A citizen who does not know cannot choose. The absence of disclosure is the absence of consent. And the knowing infliction of harm on a person who has not consented — who has been systematically prevented from consenting by the withholding of the information necessary for consent — is not a regulatory oversight. It is a moral and legal offense.</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The wise have always known that the most dangerous form of harm is the harm that is normalized, systematized, and made invisible by the very institutions charged with preventing it. We do not accept this. We name it. We document it. We present the evidence. And we demand an answer.</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VII.  THE AVAILABLE REMEDY — THE TECHNOLOGY EXISTS</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This paper would be a counsel of despair if it documented only the harm and named only the guilty. It does not. The mitigation technology exists. It has existed in various forms for decades. The decision not to deploy it has been commercial, not technical. That decision is no longer defensible, and it is no longer the only option available.</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The Mitigation Spectrum</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Vibration isolation for seated occupants spans a full spectrum from partial attenuation — achievable with passive materials at minimal cost — to near-complete physical separation of the occupant from the vehicle vibration environment, achievable with active magnetic or quasi-zero stiffness isolation systems. Any point on this spectrum represents a meaningful reduction in cumulative spinal vibration dose. The dose-response literature documents no safe lower threshold — which means that any reduction, however modest, is medically beneficial.</w:t>
      </w:r>
    </w:p>
    <w:p>
      <w:pPr>
        <w:spacing w:after="80" w:before="80"/>
      </w:pPr>
      <w:r>
        <w:rPr>
          <w:rFonts w:ascii="Georgia" w:cs="Georgia" w:eastAsia="Georgia" w:hAnsi="Georgia"/>
          <w:sz w:val="4"/>
          <w:szCs w:val="4"/>
        </w:rPr>
        <w:t xml:space="preserve"/>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Tier I — Partial mitigation (≥10% reduction): Passive viscoelastic overlays, pneumatic bladder inserts inflated by CO₂ cartridge, locally resonant metamaterial panels. Cost: under $20. No vehicle modification. No power. Available today.</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Tier II — Moderate mitigation (≥50% reduction): Passive quasi-zero stiffness platforms, permanent magnet repulsion arrays, perimeter tension suspension architectures. Cost: hundreds of dollars per seat. Retrofit-compatible.</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Tier III — High mitigation (≥90% reduction): Active magnetorheological adaptive platforms, hexagonal precision stabilization architecture. Defense-grade and commercial OEM. Cost: thousands of dollars per seat. Mission-critical applications.</w:t>
      </w:r>
    </w:p>
    <w:p>
      <w:pPr>
        <w:spacing w:after="80" w:before="80" w:line="310"/>
        <w:ind w:left="560" w:hanging="280"/>
      </w:pPr>
      <w:r>
        <w:rPr>
          <w:rFonts w:ascii="Georgia" w:cs="Georgia" w:eastAsia="Georgia" w:hAnsi="Georgia"/>
          <w:b/>
          <w:bCs/>
          <w:color w:val="8B6914"/>
          <w:sz w:val="22"/>
          <w:szCs w:val="22"/>
        </w:rPr>
        <w:t xml:space="preserve">•  </w:t>
      </w:r>
      <w:r>
        <w:rPr>
          <w:rFonts w:ascii="Georgia" w:cs="Georgia" w:eastAsia="Georgia" w:hAnsi="Georgia"/>
          <w:b w:val="false"/>
          <w:bCs w:val="false"/>
          <w:color w:val="1A1A1A"/>
          <w:sz w:val="22"/>
          <w:szCs w:val="22"/>
        </w:rPr>
        <w:t xml:space="preserve">Tier IV — Near-complete isolation (≥99% reduction): Five-contact-point complete physical isolation architecture. Permanent magnet levitation, occupant-space frame, independently isolated seat pan, back, headrest, armrests, feet. The seat that removes the occupant entirely from the vehicle vibration environment. The ultimate form of the solution.</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Patent-pending technology covering all four tiers was filed with the United States Patent and Trademark Office on April 4, 2026, under Application Numbers 64/029,312 (Hexagonal Precision Stabilization Platform) and 64/029,331 (Hexis Suspension Seat — Somatic Load Architecture). The Echosphere IP Covenant applies: this technology is free for personal self-build and altruistic use. Commercial deployment requires a license from Echosphere.io. The licensing framework is designed to deploy the technology as widely and as rapidly as possible, not to restrict it.</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The technology to protect every seated occupant in every vehicle on earth from the documented harm of whole-body vibration exists today. It has existed in various forms for decades. The question has never been whether the solution is possible. The question has always been whether the will to deploy it exists.</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VIII.  THE INDICTMENT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A detective assembles evidence. Then the detective names what the evidence proves. The evidence assembled in this paper proves the following:</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harm is real. It is not hypothetical, not disputed, not subject to legitimate scientific controversy. Six decades of peer-reviewed literature, codified in international standards in force for nearly fifty years, documented at every level from epidemiology to molecular biology, acknowledged by a national government as a compensable occupational disease, confirmed in a United States Department of Defense report to Congress — this is not a contested scientific claim. It is established fact.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knowledge was possessed. Every aircraft manufacturer, every seat OEM, every major airline, every commercial vehicle manufacturer, every agricultural and construction equipment producer with an engineering department has had access to the ISO standards, the epidemiological literature, and the regulatory frameworks since the 1970s. The knowledge was not hidden. It was published, codified, and distributed internationally.</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disclosure was withheld. Not one commercial transportation operator discloses WBV exposure levels at the passenger seat interface. Not one aircraft manufacturer publishes the vibration characteristics of its seat structures. Not one commercial vehicle OEM warns operators of the cumulative spinal damage risk of their products. The knowledge existed. The disclosure did not follow.</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remedy was available. Active cab suspension for truck drivers has been commercially available since the 1990s. Negative stiffness isolation platforms have been commercially sold for laboratory instrument protection for decades. Magnetorheological fluid damper technology has been deployed in commercial automobiles since 2002. The technology to protect seated occupants has never been the barrier. The barrier has been the commercial calculation that protection costs more than liability.</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populations were not protected. Not the helicopter pilots whose cervical discs degenerate in dose-response proportion to their flight hours. Not the truck drivers whose 55-60% back pain prevalence is double the general population rate. Not the flight attendants who stand and absorb aircraft vibration for thirty-year careers. And most of all not the four billion aviation passengers per year who have no protection, no standard, no warning, and no recourse.</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This is not negligence by oversight. It is negligence by calculation. The harm was known. The solution was available. The disclosure was withheld. The protection was not deployed. What remains is the question of accountability — and the answer to that question belongs to the courts, the regulators, and ultimately the public.</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IX.  THE CALL TO ACTION — WHAT MUST HAPPEN NOW</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To the Federal Government</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OSHA must promulgate a mandatory Permissible Exposure Limit for whole-body vibration in all covered occupational settings, including commercial vehicle operation, aviation crew duty, and agricultural and construction equipment operation. The absence of a mandatory PEL after fifty years of documented harm is not a scientific uncertainty — it is a regulatory failure of historic proportions.</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FAA must establish minimum WBV performance standards for commercial aircraft passenger seats, including mandatory measurement and disclosure of vibration levels at the passenger seat interface. The passenger is not a worker protected by OSHA. The passenger has no protection. The FAA is the only entity with jurisdiction to close that gap.</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Department of Defense must implement active WBV protection for all helicopter aircrew and ground vehicle crew as an immediate operational health priority. The 2019 report to Congress documented the harm. The technology to address it is now patent-pending and available for government licensing. The gate is open.</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To the Associations</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Air Line Pilots Association, the Association of Flight Attendants, the Owner-Operator Independent Drivers Association, the International Brotherhood of Teamsters, the US Army Warrant Officer Association, and every other organization representing workers whose occupational conditions include sustained WBV exposure: your members are being harmed. The documentation is in your hands. The mitigation technology exists. The regulatory petition mechanism is available. The time for a formal rulemaking petition to OSHA is now.</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To the Industry</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This paper constitutes formal written notice — served as a matter of public record — that patent-pending mitigation technology now exists for the whole-body vibration hazard that your products have delivered to seated occupants for decades. Any company that receives this notice and continues to sell unseated, unprotected, undisclosed vibration exposure to its customers from this date forward does so with full knowledge of the harm, full knowledge of the available remedy, and full knowledge that this notice exists in the public record. The legal significance of that posture is a matter for your counsel.</w:t>
      </w:r>
    </w:p>
    <w:p>
      <w:pPr>
        <w:spacing w:after="80" w:before="80"/>
      </w:pPr>
      <w:r>
        <w:rPr>
          <w:rFonts w:ascii="Georgia" w:cs="Georgia" w:eastAsia="Georgia" w:hAnsi="Georgia"/>
          <w:sz w:val="4"/>
          <w:szCs w:val="4"/>
        </w:rPr>
        <w:t xml:space="preserve"/>
      </w:r>
    </w:p>
    <w:p>
      <w:pPr>
        <w:spacing w:after="100" w:before="320"/>
      </w:pPr>
      <w:r>
        <w:rPr>
          <w:rFonts w:ascii="Georgia" w:cs="Georgia" w:eastAsia="Georgia" w:hAnsi="Georgia"/>
          <w:b/>
          <w:bCs/>
          <w:color w:val="2C2C2C"/>
          <w:sz w:val="24"/>
          <w:szCs w:val="24"/>
        </w:rPr>
        <w:t xml:space="preserve">To the Citizen</w:t>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You have a right to know. You have a right to demand warning labels on transportation seats disclosing the WBV exposure levels they deliver. You have a right to demand that the FAA require passenger seat vibration standards. You have a right to demand that OSHA extend its WBV guidance to enforceable standards. You have a right to demand that your employer disclose the WBV exposure levels at your workstation. And if you have suffered back pain, disc herniation, or spinal degeneration as a consequence of years of occupational or travel-related WBV exposure, you have a right to know that the cause was documented, the harm was preventable, and the industry that delivered it knew.</w:t>
      </w:r>
    </w:p>
    <w:p>
      <w:pPr>
        <w:spacing w:after="80" w:before="80"/>
      </w:pPr>
      <w:r>
        <w:rPr>
          <w:rFonts w:ascii="Georgia" w:cs="Georgia" w:eastAsia="Georgia" w:hAnsi="Georgia"/>
          <w:sz w:val="4"/>
          <w:szCs w:val="4"/>
        </w:rPr>
        <w:t xml:space="preserve"/>
      </w:r>
    </w:p>
    <w:p>
      <w:pPr>
        <w:pBdr>
          <w:left w:val="thick" w:color="8B6914" w:sz="12" w:space="12"/>
        </w:pBdr>
        <w:spacing w:after="280" w:before="280"/>
        <w:ind w:left="720" w:right="720"/>
      </w:pPr>
      <w:r>
        <w:rPr>
          <w:rFonts w:ascii="Georgia" w:cs="Georgia" w:eastAsia="Georgia" w:hAnsi="Georgia"/>
          <w:i/>
          <w:iCs/>
          <w:color w:val="2C2C2C"/>
          <w:sz w:val="24"/>
          <w:szCs w:val="24"/>
        </w:rPr>
        <w:t xml:space="preserve">The measure of a civilization is not how it treats its healthy and its powerful. It is how it treats those who are being harmed by forces they cannot see, cannot name, and were never told to protect themselves against. By that measure, we owe the people on those aircraft, in those truck cabs, and in those helicopter cockpits a great deal more than we have given them.</w:t>
      </w:r>
    </w:p>
    <w:p>
      <w:r>
        <w:br w:type="page"/>
      </w:r>
    </w:p>
    <w:p>
      <w:pPr>
        <w:pBdr>
          <w:bottom w:val="single" w:color="8B6914" w:sz="6" w:space="4"/>
        </w:pBdr>
        <w:spacing w:after="120" w:before="440"/>
      </w:pPr>
      <w:r>
        <w:rPr>
          <w:rFonts w:ascii="Georgia" w:cs="Georgia" w:eastAsia="Georgia" w:hAnsi="Georgia"/>
          <w:b/>
          <w:bCs/>
          <w:color w:val="2C2C2C"/>
          <w:sz w:val="28"/>
          <w:szCs w:val="28"/>
        </w:rPr>
        <w:t xml:space="preserve">CLOSING STATEMENT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I returned from Japan in pain. I have not forgotten that pain. I will not forget it. And I will not be silent about it.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The science is settled. The knowledge is documented. The remedy exists. The only remaining question is whether the people and the institutions with the power to act will do so — and whether, if they choose not to, the record will be clear enough that history knows why they chose as they did.</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This paper is my contribution to that record. The evidence is assembled. The conclusion is inescapable. The case is presented to whoever has the authority and the conscience to act upon it.</w:t>
      </w:r>
    </w:p>
    <w:p>
      <w:pPr>
        <w:spacing w:after="80" w:before="8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val="false"/>
          <w:iCs w:val="false"/>
          <w:caps w:val="false"/>
          <w:color w:val="1A1A1A"/>
          <w:sz w:val="22"/>
          <w:szCs w:val="22"/>
        </w:rPr>
        <w:t xml:space="preserve">I remain, as always, a citizen first.</w:t>
      </w:r>
    </w:p>
    <w:p>
      <w:pPr>
        <w:spacing w:after="160" w:before="160"/>
      </w:pPr>
      <w:r>
        <w:rPr>
          <w:rFonts w:ascii="Georgia" w:cs="Georgia" w:eastAsia="Georgia" w:hAnsi="Georgia"/>
          <w:sz w:val="4"/>
          <w:szCs w:val="4"/>
        </w:rPr>
        <w:t xml:space="preserve"/>
      </w:r>
    </w:p>
    <w:p>
      <w:pPr>
        <w:spacing w:after="80" w:before="0"/>
      </w:pPr>
      <w:r>
        <w:rPr>
          <w:rFonts w:ascii="Georgia" w:cs="Georgia" w:eastAsia="Georgia" w:hAnsi="Georgia"/>
          <w:b/>
          <w:bCs/>
          <w:color w:val="2C2C2C"/>
          <w:sz w:val="26"/>
          <w:szCs w:val="26"/>
        </w:rPr>
        <w:t xml:space="preserve">Steven Easley</w:t>
      </w:r>
    </w:p>
    <w:p>
      <w:pPr>
        <w:spacing w:after="60" w:before="0"/>
      </w:pPr>
      <w:r>
        <w:rPr>
          <w:rFonts w:ascii="Georgia" w:cs="Georgia" w:eastAsia="Georgia" w:hAnsi="Georgia"/>
          <w:i/>
          <w:iCs/>
          <w:color w:val="666666"/>
          <w:sz w:val="22"/>
          <w:szCs w:val="22"/>
        </w:rPr>
        <w:t xml:space="preserve">Founder &amp; CEO, Echosphere.io</w:t>
      </w:r>
    </w:p>
    <w:p>
      <w:pPr>
        <w:spacing w:after="60" w:before="0"/>
      </w:pPr>
      <w:r>
        <w:rPr>
          <w:rFonts w:ascii="Georgia" w:cs="Georgia" w:eastAsia="Georgia" w:hAnsi="Georgia"/>
          <w:i/>
          <w:iCs/>
          <w:color w:val="666666"/>
          <w:sz w:val="22"/>
          <w:szCs w:val="22"/>
        </w:rPr>
        <w:t xml:space="preserve">Inventor · Researcher · Citizen</w:t>
      </w:r>
    </w:p>
    <w:p>
      <w:pPr>
        <w:spacing w:after="60" w:before="0"/>
      </w:pPr>
      <w:r>
        <w:rPr>
          <w:rFonts w:ascii="Georgia" w:cs="Georgia" w:eastAsia="Georgia" w:hAnsi="Georgia"/>
          <w:color w:val="666666"/>
          <w:sz w:val="22"/>
          <w:szCs w:val="22"/>
        </w:rPr>
        <w:t xml:space="preserve">Orlando, Florida · April 2026</w:t>
      </w:r>
    </w:p>
    <w:p>
      <w:pPr>
        <w:spacing w:after="80" w:before="80"/>
      </w:pPr>
      <w:r>
        <w:rPr>
          <w:rFonts w:ascii="Georgia" w:cs="Georgia" w:eastAsia="Georgia" w:hAnsi="Georgia"/>
          <w:sz w:val="4"/>
          <w:szCs w:val="4"/>
        </w:rPr>
        <w:t xml:space="preserve"/>
      </w:r>
    </w:p>
    <w:p>
      <w:pPr>
        <w:spacing w:after="60" w:before="0"/>
      </w:pPr>
      <w:r>
        <w:rPr>
          <w:rFonts w:ascii="Georgia" w:cs="Georgia" w:eastAsia="Georgia" w:hAnsi="Georgia"/>
          <w:color w:val="666666"/>
          <w:sz w:val="20"/>
          <w:szCs w:val="20"/>
        </w:rPr>
        <w:t xml:space="preserve">seasley@echosphere.io  |  echosphere.io</w:t>
      </w:r>
    </w:p>
    <w:p>
      <w:pPr>
        <w:spacing w:after="60" w:before="0"/>
      </w:pPr>
      <w:r>
        <w:rPr>
          <w:rFonts w:ascii="Georgia" w:cs="Georgia" w:eastAsia="Georgia" w:hAnsi="Georgia"/>
          <w:color w:val="666666"/>
          <w:sz w:val="20"/>
          <w:szCs w:val="20"/>
        </w:rPr>
        <w:t xml:space="preserve">Patent Pending: USPTO Application No. 64/029,312 (Family R) · 64/029,331 (Family N)</w:t>
      </w:r>
    </w:p>
    <w:p>
      <w:pPr>
        <w:spacing w:after="60" w:before="0"/>
      </w:pPr>
      <w:r>
        <w:rPr>
          <w:rFonts w:ascii="Georgia" w:cs="Georgia" w:eastAsia="Georgia" w:hAnsi="Georgia"/>
          <w:i/>
          <w:iCs/>
          <w:color w:val="666666"/>
          <w:sz w:val="20"/>
          <w:szCs w:val="20"/>
        </w:rPr>
        <w:t xml:space="preserve">Filed April 4, 2026 · Echosphere IP Covenant applies</w:t>
      </w:r>
    </w:p>
    <w:p>
      <w:pPr>
        <w:pBdr>
          <w:top w:val="single" w:color="CCCCCC" w:sz="2" w:space="1"/>
        </w:pBdr>
        <w:spacing w:after="200" w:before="200"/>
      </w:pPr>
      <w:r>
        <w:rPr>
          <w:rFonts w:ascii="Georgia" w:cs="Georgia" w:eastAsia="Georgia" w:hAnsi="Georgia"/>
          <w:sz w:val="4"/>
          <w:szCs w:val="4"/>
        </w:rPr>
        <w:t xml:space="preserve"/>
      </w:r>
    </w:p>
    <w:p>
      <w:pPr>
        <w:spacing w:after="60" w:before="60"/>
      </w:pPr>
      <w:r>
        <w:rPr>
          <w:rFonts w:ascii="Georgia" w:cs="Georgia" w:eastAsia="Georgia" w:hAnsi="Georgia"/>
          <w:sz w:val="4"/>
          <w:szCs w:val="4"/>
        </w:rPr>
        <w:t xml:space="preserve"/>
      </w:r>
    </w:p>
    <w:p>
      <w:pPr>
        <w:spacing w:after="140" w:before="140" w:line="320"/>
        <w:jc w:val="left"/>
      </w:pPr>
      <w:r>
        <w:rPr>
          <w:rFonts w:ascii="Georgia" w:cs="Georgia" w:eastAsia="Georgia" w:hAnsi="Georgia"/>
          <w:b w:val="false"/>
          <w:bCs w:val="false"/>
          <w:i/>
          <w:iCs/>
          <w:caps w:val="false"/>
          <w:color w:val="666666"/>
          <w:sz w:val="18"/>
          <w:szCs w:val="18"/>
        </w:rPr>
        <w:t xml:space="preserve">This paper may be freely reproduced, distributed, cited, and submitted to any government agency, regulatory body, court of law, legislative body, professional association, academic institution, or publication, provided that the authorship, patent notice, and filing date are preserved intact. The truth does not require a license.</w:t>
      </w:r>
    </w:p>
    <w:sectPr>
      <w:headerReference w:type="default" r:id="rId7"/>
      <w:footerReference w:type="default" r:id="rId8"/>
      <w:pgSz w:w="12240" w:h="15840" w:orient="portrait"/>
      <w:pgMar w:top="1440" w:right="1440" w:bottom="1440" w:left="158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8B6914" w:sz="2" w:space="4"/>
      </w:pBdr>
      <w:spacing w:after="0" w:before="120"/>
      <w:jc w:val="center"/>
    </w:pPr>
    <w:r>
      <w:rPr>
        <w:rFonts w:ascii="Georgia" w:cs="Georgia" w:eastAsia="Georgia" w:hAnsi="Georgia"/>
        <w:color w:val="666666"/>
        <w:sz w:val="16"/>
        <w:szCs w:val="16"/>
      </w:rPr>
      <w:t xml:space="preserve">echosphere.io  |  seasley@echosphere.io  |  USPTO 64/029,312 · 64/029,331  |  </w:t>
    </w:r>
    <w:r>
      <w:rPr>
        <w:rFonts w:ascii="Georgia" w:cs="Georgia" w:eastAsia="Georgia" w:hAnsi="Georgia"/>
        <w:color w:val="666666"/>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8B6914" w:sz="2" w:space="4"/>
      </w:pBdr>
      <w:spacing w:after="120" w:before="0"/>
    </w:pPr>
    <w:r>
      <w:rPr>
        <w:rFonts w:ascii="Georgia" w:cs="Georgia" w:eastAsia="Georgia" w:hAnsi="Georgia"/>
        <w:b/>
        <w:bCs/>
        <w:color w:val="8B6914"/>
        <w:sz w:val="16"/>
        <w:szCs w:val="16"/>
      </w:rPr>
      <w:t xml:space="preserve">THE SILENT EPIDEMIC  </w:t>
    </w:r>
    <w:r>
      <w:rPr>
        <w:rFonts w:ascii="Georgia" w:cs="Georgia" w:eastAsia="Georgia" w:hAnsi="Georgia"/>
        <w:color w:val="666666"/>
        <w:sz w:val="16"/>
        <w:szCs w:val="16"/>
      </w:rPr>
      <w:t xml:space="preserve">A Public Health White Paper  |  Echosphere.io  |  April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2026-04-04T12:57:23.023Z</dcterms:created>
  <dcterms:modified xsi:type="dcterms:W3CDTF">2026-04-04T12:57:23.023Z</dcterms:modified>
</cp:coreProperties>
</file>

<file path=docProps/custom.xml><?xml version="1.0" encoding="utf-8"?>
<Properties xmlns="http://schemas.openxmlformats.org/officeDocument/2006/custom-properties" xmlns:vt="http://schemas.openxmlformats.org/officeDocument/2006/docPropsVTypes"/>
</file>